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40B2" w14:textId="77777777" w:rsidR="00353889" w:rsidRDefault="00353889" w:rsidP="0ED83C5F">
      <w:pPr>
        <w:rPr>
          <w:b/>
          <w:bCs/>
          <w:u w:val="single"/>
        </w:rPr>
      </w:pPr>
    </w:p>
    <w:p w14:paraId="09410228" w14:textId="0BB86BEF" w:rsidR="005B45A2" w:rsidRPr="0078439B" w:rsidRDefault="0ED83C5F" w:rsidP="0ED83C5F">
      <w:pPr>
        <w:rPr>
          <w:b/>
          <w:bCs/>
          <w:u w:val="single"/>
        </w:rPr>
      </w:pPr>
      <w:r w:rsidRPr="0ED83C5F">
        <w:rPr>
          <w:b/>
          <w:bCs/>
          <w:u w:val="single"/>
        </w:rPr>
        <w:t>British Values – Child Play Learning &amp; Development.</w:t>
      </w:r>
    </w:p>
    <w:p w14:paraId="65B8283C" w14:textId="239FD032" w:rsidR="00D22309" w:rsidRDefault="0ED83C5F" w:rsidP="00D22309">
      <w:r>
        <w:t xml:space="preserve">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7409F" w:rsidRPr="00353889" w14:paraId="137ABD7B" w14:textId="77777777" w:rsidTr="0ED83C5F">
        <w:tc>
          <w:tcPr>
            <w:tcW w:w="2324" w:type="dxa"/>
          </w:tcPr>
          <w:p w14:paraId="64EC80D4" w14:textId="77777777" w:rsidR="00D22309" w:rsidRPr="00353889" w:rsidRDefault="0ED83C5F" w:rsidP="00D22309">
            <w:pPr>
              <w:rPr>
                <w:b/>
                <w:szCs w:val="24"/>
              </w:rPr>
            </w:pPr>
            <w:r w:rsidRPr="00353889">
              <w:rPr>
                <w:b/>
                <w:szCs w:val="24"/>
              </w:rPr>
              <w:t>Subject</w:t>
            </w:r>
          </w:p>
        </w:tc>
        <w:tc>
          <w:tcPr>
            <w:tcW w:w="2324" w:type="dxa"/>
          </w:tcPr>
          <w:p w14:paraId="60172898" w14:textId="77777777" w:rsidR="00D22309" w:rsidRPr="00353889" w:rsidRDefault="0ED83C5F" w:rsidP="00D22309">
            <w:pPr>
              <w:jc w:val="center"/>
              <w:rPr>
                <w:b/>
                <w:szCs w:val="24"/>
              </w:rPr>
            </w:pPr>
            <w:r w:rsidRPr="00353889">
              <w:rPr>
                <w:b/>
                <w:szCs w:val="24"/>
              </w:rPr>
              <w:t>Democracy</w:t>
            </w:r>
          </w:p>
        </w:tc>
        <w:tc>
          <w:tcPr>
            <w:tcW w:w="2325" w:type="dxa"/>
          </w:tcPr>
          <w:p w14:paraId="737D386A" w14:textId="77777777" w:rsidR="00D22309" w:rsidRPr="00353889" w:rsidRDefault="0ED83C5F" w:rsidP="00D22309">
            <w:pPr>
              <w:jc w:val="center"/>
              <w:rPr>
                <w:b/>
                <w:szCs w:val="24"/>
              </w:rPr>
            </w:pPr>
            <w:r w:rsidRPr="00353889">
              <w:rPr>
                <w:b/>
                <w:szCs w:val="24"/>
              </w:rPr>
              <w:t>Rule of law</w:t>
            </w:r>
          </w:p>
        </w:tc>
        <w:tc>
          <w:tcPr>
            <w:tcW w:w="2325" w:type="dxa"/>
          </w:tcPr>
          <w:p w14:paraId="25EA3B9C" w14:textId="77777777" w:rsidR="00D22309" w:rsidRPr="00353889" w:rsidRDefault="0ED83C5F" w:rsidP="00D22309">
            <w:pPr>
              <w:jc w:val="center"/>
              <w:rPr>
                <w:b/>
                <w:szCs w:val="24"/>
              </w:rPr>
            </w:pPr>
            <w:r w:rsidRPr="00353889">
              <w:rPr>
                <w:b/>
                <w:szCs w:val="24"/>
              </w:rPr>
              <w:t>Individual liberty</w:t>
            </w:r>
          </w:p>
        </w:tc>
        <w:tc>
          <w:tcPr>
            <w:tcW w:w="2325" w:type="dxa"/>
          </w:tcPr>
          <w:p w14:paraId="25FDA850" w14:textId="77777777" w:rsidR="00D22309" w:rsidRPr="00353889" w:rsidRDefault="0ED83C5F" w:rsidP="00D22309">
            <w:pPr>
              <w:jc w:val="center"/>
              <w:rPr>
                <w:b/>
                <w:szCs w:val="24"/>
              </w:rPr>
            </w:pPr>
            <w:r w:rsidRPr="00353889">
              <w:rPr>
                <w:b/>
                <w:szCs w:val="24"/>
              </w:rPr>
              <w:t>Mutual respect</w:t>
            </w:r>
          </w:p>
        </w:tc>
        <w:tc>
          <w:tcPr>
            <w:tcW w:w="2325" w:type="dxa"/>
          </w:tcPr>
          <w:p w14:paraId="0F2EDA56" w14:textId="77777777" w:rsidR="00D22309" w:rsidRPr="00353889" w:rsidRDefault="0ED83C5F" w:rsidP="00D22309">
            <w:pPr>
              <w:jc w:val="center"/>
              <w:rPr>
                <w:b/>
                <w:szCs w:val="24"/>
              </w:rPr>
            </w:pPr>
            <w:r w:rsidRPr="00353889">
              <w:rPr>
                <w:b/>
                <w:szCs w:val="24"/>
              </w:rPr>
              <w:t>Tolerance of those of different faiths of beliefs.</w:t>
            </w:r>
          </w:p>
        </w:tc>
      </w:tr>
      <w:tr w:rsidR="0017409F" w:rsidRPr="00353889" w14:paraId="6572719F" w14:textId="77777777" w:rsidTr="0ED83C5F">
        <w:tc>
          <w:tcPr>
            <w:tcW w:w="2324" w:type="dxa"/>
          </w:tcPr>
          <w:p w14:paraId="479057A7" w14:textId="77777777" w:rsidR="002D1CBF" w:rsidRPr="00353889" w:rsidRDefault="0ED83C5F" w:rsidP="0ED83C5F">
            <w:pPr>
              <w:rPr>
                <w:rFonts w:eastAsia="Arial" w:cs="Arial"/>
                <w:b/>
                <w:szCs w:val="24"/>
              </w:rPr>
            </w:pPr>
            <w:r w:rsidRPr="00353889">
              <w:rPr>
                <w:rFonts w:eastAsia="Arial" w:cs="Arial"/>
                <w:b/>
                <w:szCs w:val="24"/>
              </w:rPr>
              <w:t xml:space="preserve">CPLD </w:t>
            </w:r>
          </w:p>
          <w:p w14:paraId="66C3DFEA" w14:textId="2F626F7F" w:rsidR="00D22309" w:rsidRPr="00353889" w:rsidRDefault="0ED83C5F" w:rsidP="0ED83C5F">
            <w:pPr>
              <w:rPr>
                <w:rFonts w:eastAsia="Arial" w:cs="Arial"/>
                <w:b/>
                <w:szCs w:val="24"/>
              </w:rPr>
            </w:pPr>
            <w:r w:rsidRPr="00353889">
              <w:rPr>
                <w:rFonts w:eastAsia="Arial" w:cs="Arial"/>
                <w:b/>
                <w:szCs w:val="24"/>
              </w:rPr>
              <w:t>Key Stage 4</w:t>
            </w:r>
          </w:p>
        </w:tc>
        <w:tc>
          <w:tcPr>
            <w:tcW w:w="2324" w:type="dxa"/>
          </w:tcPr>
          <w:p w14:paraId="4960704C"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In CPLD our students </w:t>
            </w:r>
          </w:p>
          <w:p w14:paraId="6A6D197E"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are taught about the</w:t>
            </w:r>
          </w:p>
          <w:p w14:paraId="6EA49C08"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importance of </w:t>
            </w:r>
          </w:p>
          <w:p w14:paraId="521CAA9D"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empowerment</w:t>
            </w:r>
            <w:r w:rsidR="00EA1978" w:rsidRPr="00353889">
              <w:rPr>
                <w:rFonts w:eastAsia="Arial" w:cs="Arial"/>
                <w:color w:val="000000"/>
                <w:spacing w:val="2"/>
                <w:szCs w:val="24"/>
              </w:rPr>
              <w:t xml:space="preserve"> and </w:t>
            </w:r>
          </w:p>
          <w:p w14:paraId="549D6913"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addresses what </w:t>
            </w:r>
          </w:p>
          <w:p w14:paraId="4145C71E"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democracy in early</w:t>
            </w:r>
          </w:p>
          <w:p w14:paraId="41347015"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years means to a </w:t>
            </w:r>
          </w:p>
          <w:p w14:paraId="469657EF"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child. The students</w:t>
            </w:r>
          </w:p>
          <w:p w14:paraId="064D13D7"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w:t>
            </w:r>
            <w:r w:rsidR="00EA1978" w:rsidRPr="00353889">
              <w:rPr>
                <w:rFonts w:eastAsia="Arial" w:cs="Arial"/>
                <w:color w:val="000000"/>
                <w:spacing w:val="2"/>
                <w:szCs w:val="24"/>
              </w:rPr>
              <w:t>recognis</w:t>
            </w:r>
            <w:r w:rsidRPr="00353889">
              <w:rPr>
                <w:rFonts w:eastAsia="Arial" w:cs="Arial"/>
                <w:color w:val="000000"/>
                <w:spacing w:val="2"/>
                <w:szCs w:val="24"/>
              </w:rPr>
              <w:t>e that by</w:t>
            </w:r>
          </w:p>
          <w:p w14:paraId="2E5CB339"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giving children </w:t>
            </w:r>
          </w:p>
          <w:p w14:paraId="7E5BFD51"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opportunities to </w:t>
            </w:r>
          </w:p>
          <w:p w14:paraId="13781746"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develop their self-</w:t>
            </w:r>
          </w:p>
          <w:p w14:paraId="7EDBB6A1"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confidence and self-</w:t>
            </w:r>
          </w:p>
          <w:p w14:paraId="167A300A"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awareness, to make </w:t>
            </w:r>
          </w:p>
          <w:p w14:paraId="3503282A"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choices and decisions </w:t>
            </w:r>
          </w:p>
          <w:p w14:paraId="14D30644"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lastRenderedPageBreak/>
              <w:t xml:space="preserve">about what they want </w:t>
            </w:r>
          </w:p>
          <w:p w14:paraId="77DB9A8F"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to explore and how </w:t>
            </w:r>
          </w:p>
          <w:p w14:paraId="35EC7F92"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they're g</w:t>
            </w:r>
            <w:r w:rsidR="0070239F" w:rsidRPr="00353889">
              <w:rPr>
                <w:rFonts w:eastAsia="Arial" w:cs="Arial"/>
                <w:color w:val="000000"/>
                <w:spacing w:val="2"/>
                <w:szCs w:val="24"/>
              </w:rPr>
              <w:t>oing to use</w:t>
            </w:r>
          </w:p>
          <w:p w14:paraId="4D6B0E79"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 the resources that </w:t>
            </w:r>
          </w:p>
          <w:p w14:paraId="54CA5CFE"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have been</w:t>
            </w:r>
            <w:r w:rsidR="00131F63" w:rsidRPr="00353889">
              <w:rPr>
                <w:rFonts w:eastAsia="Arial" w:cs="Arial"/>
                <w:color w:val="000000"/>
                <w:spacing w:val="2"/>
                <w:szCs w:val="24"/>
              </w:rPr>
              <w:t xml:space="preserve"> made </w:t>
            </w:r>
          </w:p>
          <w:p w14:paraId="2B47E39C"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accessible to them</w:t>
            </w:r>
          </w:p>
          <w:p w14:paraId="67023560"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promotes democracy</w:t>
            </w:r>
          </w:p>
          <w:p w14:paraId="0D97D2B9" w14:textId="77777777" w:rsidR="0070239F" w:rsidRPr="00353889" w:rsidRDefault="00131F63" w:rsidP="0ED83C5F">
            <w:pPr>
              <w:spacing w:after="120"/>
              <w:rPr>
                <w:rFonts w:eastAsia="Arial" w:cs="Arial"/>
                <w:color w:val="000000" w:themeColor="text1"/>
                <w:szCs w:val="24"/>
              </w:rPr>
            </w:pPr>
            <w:r w:rsidRPr="00353889">
              <w:rPr>
                <w:rFonts w:eastAsia="Arial" w:cs="Arial"/>
                <w:color w:val="000000"/>
                <w:spacing w:val="2"/>
                <w:szCs w:val="24"/>
              </w:rPr>
              <w:t xml:space="preserve"> in any setting.</w:t>
            </w:r>
            <w:r w:rsidR="0070239F" w:rsidRPr="00353889">
              <w:rPr>
                <w:rFonts w:eastAsia="Arial" w:cs="Arial"/>
                <w:color w:val="000000"/>
                <w:spacing w:val="2"/>
                <w:szCs w:val="24"/>
              </w:rPr>
              <w:t xml:space="preserve">  The </w:t>
            </w:r>
          </w:p>
          <w:p w14:paraId="69332836"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students learn to take </w:t>
            </w:r>
          </w:p>
          <w:p w14:paraId="43F006A4"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responsibility for </w:t>
            </w:r>
            <w:proofErr w:type="gramStart"/>
            <w:r w:rsidRPr="00353889">
              <w:rPr>
                <w:rFonts w:eastAsia="Arial" w:cs="Arial"/>
                <w:color w:val="000000"/>
                <w:spacing w:val="2"/>
                <w:szCs w:val="24"/>
              </w:rPr>
              <w:t>their</w:t>
            </w:r>
            <w:proofErr w:type="gramEnd"/>
            <w:r w:rsidRPr="00353889">
              <w:rPr>
                <w:rFonts w:eastAsia="Arial" w:cs="Arial"/>
                <w:color w:val="000000"/>
                <w:spacing w:val="2"/>
                <w:szCs w:val="24"/>
              </w:rPr>
              <w:t xml:space="preserve"> </w:t>
            </w:r>
          </w:p>
          <w:p w14:paraId="0B30B045"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learning and take turns</w:t>
            </w:r>
          </w:p>
          <w:p w14:paraId="6C739225"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 to offer an opinion or</w:t>
            </w:r>
          </w:p>
          <w:p w14:paraId="15A1D402" w14:textId="77777777" w:rsidR="0070239F"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 answer to any given</w:t>
            </w:r>
          </w:p>
          <w:p w14:paraId="4037F398" w14:textId="28BA7EDE" w:rsidR="00131F63" w:rsidRPr="00353889" w:rsidRDefault="0070239F" w:rsidP="0ED83C5F">
            <w:pPr>
              <w:spacing w:after="120"/>
              <w:rPr>
                <w:rFonts w:eastAsia="Arial" w:cs="Arial"/>
                <w:color w:val="000000" w:themeColor="text1"/>
                <w:szCs w:val="24"/>
              </w:rPr>
            </w:pPr>
            <w:r w:rsidRPr="00353889">
              <w:rPr>
                <w:rFonts w:eastAsia="Arial" w:cs="Arial"/>
                <w:color w:val="000000"/>
                <w:spacing w:val="2"/>
                <w:szCs w:val="24"/>
              </w:rPr>
              <w:t xml:space="preserve"> topic.</w:t>
            </w:r>
          </w:p>
          <w:p w14:paraId="3F160391" w14:textId="77777777" w:rsidR="00007CB0" w:rsidRPr="00353889" w:rsidRDefault="00007CB0" w:rsidP="001118FB">
            <w:pPr>
              <w:pStyle w:val="NormalWeb"/>
              <w:shd w:val="clear" w:color="auto" w:fill="FFFFFF"/>
              <w:textAlignment w:val="top"/>
              <w:rPr>
                <w:rFonts w:ascii="Arial" w:hAnsi="Arial" w:cs="Arial"/>
              </w:rPr>
            </w:pPr>
          </w:p>
        </w:tc>
        <w:tc>
          <w:tcPr>
            <w:tcW w:w="2325" w:type="dxa"/>
          </w:tcPr>
          <w:p w14:paraId="38818F23" w14:textId="669B6E08" w:rsidR="00131F63" w:rsidRPr="00353889" w:rsidRDefault="00131F63" w:rsidP="0ED83C5F">
            <w:pPr>
              <w:pStyle w:val="NormalWeb"/>
              <w:spacing w:after="0"/>
              <w:rPr>
                <w:rFonts w:ascii="Arial" w:eastAsia="Arial" w:hAnsi="Arial" w:cs="Arial"/>
                <w:color w:val="000000" w:themeColor="text1"/>
              </w:rPr>
            </w:pPr>
            <w:r w:rsidRPr="00353889">
              <w:rPr>
                <w:rFonts w:ascii="Arial" w:eastAsia="Arial" w:hAnsi="Arial" w:cs="Arial"/>
                <w:color w:val="000000"/>
                <w:spacing w:val="2"/>
              </w:rPr>
              <w:lastRenderedPageBreak/>
              <w:t>Students are taught that rules matter. This is about learning to manage our own feelings and behaviour: about learning right from wrong: about behaving within agreed and clearly defined boundaries: about dealing with the consequences.</w:t>
            </w:r>
            <w:r w:rsidR="0070239F" w:rsidRPr="00353889">
              <w:rPr>
                <w:rFonts w:ascii="Arial" w:eastAsia="Arial" w:hAnsi="Arial" w:cs="Arial"/>
                <w:color w:val="000000"/>
                <w:spacing w:val="2"/>
              </w:rPr>
              <w:t xml:space="preserve"> They learn about how children should be supported to follow rules so that everyone can feel </w:t>
            </w:r>
            <w:r w:rsidR="0070239F" w:rsidRPr="00353889">
              <w:rPr>
                <w:rFonts w:ascii="Arial" w:eastAsia="Arial" w:hAnsi="Arial" w:cs="Arial"/>
                <w:color w:val="000000"/>
                <w:spacing w:val="2"/>
              </w:rPr>
              <w:lastRenderedPageBreak/>
              <w:t>safe in their environment.</w:t>
            </w:r>
          </w:p>
          <w:p w14:paraId="2FC41A09" w14:textId="77777777" w:rsidR="00AC2B36" w:rsidRPr="00353889" w:rsidRDefault="00AC2B36" w:rsidP="00694FE4">
            <w:pPr>
              <w:rPr>
                <w:rFonts w:cs="Arial"/>
                <w:szCs w:val="24"/>
              </w:rPr>
            </w:pPr>
          </w:p>
        </w:tc>
        <w:tc>
          <w:tcPr>
            <w:tcW w:w="2325" w:type="dxa"/>
          </w:tcPr>
          <w:p w14:paraId="23B01F63" w14:textId="162D6534" w:rsidR="00EA10EA" w:rsidRPr="00353889" w:rsidRDefault="0ED83C5F" w:rsidP="0ED83C5F">
            <w:pPr>
              <w:pStyle w:val="NormalWeb"/>
              <w:shd w:val="clear" w:color="auto" w:fill="FFFFFF" w:themeFill="background1"/>
              <w:textAlignment w:val="top"/>
              <w:rPr>
                <w:rFonts w:ascii="Arial" w:eastAsia="Arial" w:hAnsi="Arial" w:cs="Arial"/>
              </w:rPr>
            </w:pPr>
            <w:r w:rsidRPr="00353889">
              <w:rPr>
                <w:rFonts w:ascii="Arial" w:eastAsia="Arial" w:hAnsi="Arial" w:cs="Arial"/>
              </w:rPr>
              <w:lastRenderedPageBreak/>
              <w:t xml:space="preserve">Students have learned about the United Nations Convention on the Rights of the Child (Articles 12 and 13 in particular), The Childcare Act 2006 and the Children Act 1989, 2004 all of which promote a child’s liberty. The Early Years Foundation Stage clearly outlines ‘Understanding the World’ which includes teaching strategies about people and communities. The students get the </w:t>
            </w:r>
            <w:r w:rsidRPr="00353889">
              <w:rPr>
                <w:rFonts w:ascii="Arial" w:eastAsia="Arial" w:hAnsi="Arial" w:cs="Arial"/>
              </w:rPr>
              <w:lastRenderedPageBreak/>
              <w:t xml:space="preserve">opportunity to further explore and analyse these statutory items. </w:t>
            </w:r>
          </w:p>
        </w:tc>
        <w:tc>
          <w:tcPr>
            <w:tcW w:w="2325" w:type="dxa"/>
          </w:tcPr>
          <w:p w14:paraId="36B0D85B" w14:textId="37B99A88" w:rsidR="00E62D83" w:rsidRPr="00353889" w:rsidRDefault="002D1CBF" w:rsidP="0ED83C5F">
            <w:pPr>
              <w:spacing w:line="360" w:lineRule="auto"/>
              <w:rPr>
                <w:rFonts w:eastAsia="Arial" w:cs="Arial"/>
                <w:szCs w:val="24"/>
              </w:rPr>
            </w:pPr>
            <w:r w:rsidRPr="00353889">
              <w:rPr>
                <w:rFonts w:eastAsia="Arial" w:cs="Arial"/>
                <w:color w:val="000000"/>
                <w:spacing w:val="2"/>
                <w:szCs w:val="24"/>
              </w:rPr>
              <w:lastRenderedPageBreak/>
              <w:t xml:space="preserve">The students learn how to be </w:t>
            </w:r>
            <w:r w:rsidR="00EA1978" w:rsidRPr="00353889">
              <w:rPr>
                <w:rFonts w:eastAsia="Arial" w:cs="Arial"/>
                <w:color w:val="000000"/>
                <w:spacing w:val="2"/>
                <w:szCs w:val="24"/>
              </w:rPr>
              <w:t xml:space="preserve">positive </w:t>
            </w:r>
            <w:r w:rsidRPr="00353889">
              <w:rPr>
                <w:rFonts w:eastAsia="Arial" w:cs="Arial"/>
                <w:color w:val="000000"/>
                <w:spacing w:val="2"/>
                <w:szCs w:val="24"/>
              </w:rPr>
              <w:t xml:space="preserve">role models for children to understand how to treat </w:t>
            </w:r>
            <w:r w:rsidR="00EA1978" w:rsidRPr="00353889">
              <w:rPr>
                <w:rFonts w:eastAsia="Arial" w:cs="Arial"/>
                <w:color w:val="000000"/>
                <w:spacing w:val="2"/>
                <w:szCs w:val="24"/>
              </w:rPr>
              <w:t>others as we want to be treated; h</w:t>
            </w:r>
            <w:r w:rsidRPr="00353889">
              <w:rPr>
                <w:rFonts w:eastAsia="Arial" w:cs="Arial"/>
                <w:color w:val="000000"/>
                <w:spacing w:val="2"/>
                <w:szCs w:val="24"/>
              </w:rPr>
              <w:t>ow to be part of a community, manage our feelings and behaviour; and form relationships with others.</w:t>
            </w:r>
            <w:r w:rsidR="00EA1978" w:rsidRPr="00353889">
              <w:rPr>
                <w:rFonts w:eastAsia="Arial" w:cs="Arial"/>
                <w:color w:val="000000"/>
                <w:spacing w:val="2"/>
                <w:szCs w:val="24"/>
              </w:rPr>
              <w:t xml:space="preserve">  The students also learn to be </w:t>
            </w:r>
            <w:r w:rsidR="00EA1978" w:rsidRPr="00353889">
              <w:rPr>
                <w:rFonts w:eastAsia="Arial" w:cs="Arial"/>
                <w:szCs w:val="24"/>
              </w:rPr>
              <w:t xml:space="preserve">aware that negative attitudes towards difference are learned from </w:t>
            </w:r>
            <w:r w:rsidR="00EA1978" w:rsidRPr="00353889">
              <w:rPr>
                <w:rFonts w:eastAsia="Arial" w:cs="Arial"/>
                <w:szCs w:val="24"/>
              </w:rPr>
              <w:lastRenderedPageBreak/>
              <w:t>examples that children witness.</w:t>
            </w:r>
            <w:r w:rsidR="0070239F" w:rsidRPr="00353889">
              <w:rPr>
                <w:rFonts w:eastAsia="Arial" w:cs="Arial"/>
                <w:szCs w:val="24"/>
              </w:rPr>
              <w:t xml:space="preserve"> The students are given the opportunity to make the connection with making children feeling valued and the ability to reach your full potential which is taken from Maslow’s Hierarchy of needs.</w:t>
            </w:r>
          </w:p>
        </w:tc>
        <w:tc>
          <w:tcPr>
            <w:tcW w:w="2325" w:type="dxa"/>
          </w:tcPr>
          <w:p w14:paraId="60E2520C" w14:textId="61E152B3" w:rsidR="002B3984" w:rsidRPr="00353889" w:rsidRDefault="002D1CBF" w:rsidP="00353889">
            <w:pPr>
              <w:pStyle w:val="NormalWeb"/>
              <w:spacing w:after="300"/>
              <w:rPr>
                <w:rFonts w:ascii="Arial" w:eastAsia="Arial" w:hAnsi="Arial" w:cs="Arial"/>
                <w:color w:val="000000" w:themeColor="text1"/>
              </w:rPr>
            </w:pPr>
            <w:r w:rsidRPr="00353889">
              <w:rPr>
                <w:rFonts w:ascii="Arial" w:eastAsia="Arial" w:hAnsi="Arial" w:cs="Arial"/>
                <w:color w:val="000000"/>
                <w:spacing w:val="2"/>
              </w:rPr>
              <w:lastRenderedPageBreak/>
              <w:t>Students are taught to have an understanding of the ethos of inclusivity and tolerance in settings, where views, faiths, cultures and races are valued </w:t>
            </w:r>
            <w:r w:rsidRPr="00353889">
              <w:rPr>
                <w:rStyle w:val="Emphasis"/>
                <w:rFonts w:ascii="Arial" w:eastAsia="Arial" w:hAnsi="Arial" w:cs="Arial"/>
                <w:color w:val="000000"/>
                <w:spacing w:val="2"/>
              </w:rPr>
              <w:t>and</w:t>
            </w:r>
            <w:r w:rsidRPr="00353889">
              <w:rPr>
                <w:rFonts w:ascii="Arial" w:eastAsia="Arial" w:hAnsi="Arial" w:cs="Arial"/>
                <w:color w:val="000000"/>
                <w:spacing w:val="2"/>
              </w:rPr>
              <w:t> where children are encouraged to engage with their wider community. </w:t>
            </w:r>
            <w:r w:rsidR="00EA1978" w:rsidRPr="00353889">
              <w:rPr>
                <w:rFonts w:ascii="Arial" w:eastAsia="Arial" w:hAnsi="Arial" w:cs="Arial"/>
                <w:color w:val="000000"/>
                <w:spacing w:val="2"/>
              </w:rPr>
              <w:t xml:space="preserve">The students </w:t>
            </w:r>
            <w:r w:rsidRPr="00353889">
              <w:rPr>
                <w:rFonts w:ascii="Arial" w:eastAsia="Arial" w:hAnsi="Arial" w:cs="Arial"/>
                <w:color w:val="000000"/>
                <w:spacing w:val="2"/>
              </w:rPr>
              <w:t>are educated in adopting a non-judgemental att</w:t>
            </w:r>
            <w:r w:rsidR="00EA1978" w:rsidRPr="00353889">
              <w:rPr>
                <w:rFonts w:ascii="Arial" w:eastAsia="Arial" w:hAnsi="Arial" w:cs="Arial"/>
                <w:color w:val="000000"/>
                <w:spacing w:val="2"/>
              </w:rPr>
              <w:t xml:space="preserve">itude and to be ready to value </w:t>
            </w:r>
            <w:r w:rsidR="00EA1978" w:rsidRPr="00353889">
              <w:rPr>
                <w:rFonts w:ascii="Arial" w:eastAsia="Arial" w:hAnsi="Arial" w:cs="Arial"/>
                <w:color w:val="000000"/>
                <w:spacing w:val="2"/>
              </w:rPr>
              <w:lastRenderedPageBreak/>
              <w:t>others, even if they do not act in the same way. Students are taught how to help children to appreciate and respect their own culture and the culture of others. Students also learn how to create activities that can help children to explore similarities and differences between themselves and others; among families, faiths, communities, cultures and traditions; and to share and discuss practices, celebrations and experiences.</w:t>
            </w:r>
          </w:p>
        </w:tc>
      </w:tr>
    </w:tbl>
    <w:p w14:paraId="727DC3BD" w14:textId="77777777" w:rsidR="00D22309" w:rsidRPr="00353889" w:rsidRDefault="00D22309" w:rsidP="00D22309">
      <w:pPr>
        <w:rPr>
          <w:szCs w:val="24"/>
        </w:rPr>
      </w:pPr>
      <w:bookmarkStart w:id="0" w:name="_GoBack"/>
      <w:bookmarkEnd w:id="0"/>
    </w:p>
    <w:sectPr w:rsidR="00D22309" w:rsidRPr="00353889" w:rsidSect="00F90207">
      <w:headerReference w:type="default" r:id="rId10"/>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9FB2" w14:textId="77777777" w:rsidR="003921A1" w:rsidRDefault="003921A1" w:rsidP="00353889">
      <w:pPr>
        <w:spacing w:after="0" w:line="240" w:lineRule="auto"/>
      </w:pPr>
      <w:r>
        <w:separator/>
      </w:r>
    </w:p>
  </w:endnote>
  <w:endnote w:type="continuationSeparator" w:id="0">
    <w:p w14:paraId="1AC310FD" w14:textId="77777777" w:rsidR="003921A1" w:rsidRDefault="003921A1" w:rsidP="003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9E7FD" w14:textId="77777777" w:rsidR="003921A1" w:rsidRDefault="003921A1" w:rsidP="00353889">
      <w:pPr>
        <w:spacing w:after="0" w:line="240" w:lineRule="auto"/>
      </w:pPr>
      <w:r>
        <w:separator/>
      </w:r>
    </w:p>
  </w:footnote>
  <w:footnote w:type="continuationSeparator" w:id="0">
    <w:p w14:paraId="2B9066D4" w14:textId="77777777" w:rsidR="003921A1" w:rsidRDefault="003921A1" w:rsidP="003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EBCD" w14:textId="3BF182C7" w:rsidR="00353889" w:rsidRDefault="00353889">
    <w:pPr>
      <w:pStyle w:val="Header"/>
    </w:pPr>
    <w:r>
      <w:rPr>
        <w:noProof/>
        <w:lang w:eastAsia="en-GB"/>
      </w:rPr>
      <w:drawing>
        <wp:anchor distT="0" distB="0" distL="114300" distR="114300" simplePos="0" relativeHeight="251658240" behindDoc="1" locked="0" layoutInCell="1" allowOverlap="1" wp14:anchorId="0E210CFB" wp14:editId="32DAB758">
          <wp:simplePos x="0" y="0"/>
          <wp:positionH relativeFrom="column">
            <wp:posOffset>-647700</wp:posOffset>
          </wp:positionH>
          <wp:positionV relativeFrom="paragraph">
            <wp:posOffset>-278130</wp:posOffset>
          </wp:positionV>
          <wp:extent cx="956582" cy="542925"/>
          <wp:effectExtent l="0" t="0" r="0" b="0"/>
          <wp:wrapTight wrapText="bothSides">
            <wp:wrapPolygon edited="0">
              <wp:start x="15060" y="0"/>
              <wp:lineTo x="0" y="4547"/>
              <wp:lineTo x="0" y="17432"/>
              <wp:lineTo x="13769" y="20463"/>
              <wp:lineTo x="15920" y="20463"/>
              <wp:lineTo x="18072" y="20463"/>
              <wp:lineTo x="19363" y="16674"/>
              <wp:lineTo x="18932" y="12126"/>
              <wp:lineTo x="21084" y="4547"/>
              <wp:lineTo x="21084" y="0"/>
              <wp:lineTo x="18072" y="0"/>
              <wp:lineTo x="150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582" cy="542925"/>
                  </a:xfrm>
                  <a:prstGeom prst="rect">
                    <a:avLst/>
                  </a:prstGeom>
                </pic:spPr>
              </pic:pic>
            </a:graphicData>
          </a:graphic>
          <wp14:sizeRelH relativeFrom="page">
            <wp14:pctWidth>0</wp14:pctWidth>
          </wp14:sizeRelH>
          <wp14:sizeRelV relativeFrom="page">
            <wp14:pctHeight>0</wp14:pctHeight>
          </wp14:sizeRelV>
        </wp:anchor>
      </w:drawing>
    </w:r>
  </w:p>
  <w:p w14:paraId="2A439F77" w14:textId="77777777" w:rsidR="00353889" w:rsidRDefault="0035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007CB0"/>
    <w:rsid w:val="000559D3"/>
    <w:rsid w:val="000A748C"/>
    <w:rsid w:val="00110EE5"/>
    <w:rsid w:val="001118FB"/>
    <w:rsid w:val="00131F63"/>
    <w:rsid w:val="0017409F"/>
    <w:rsid w:val="002B3984"/>
    <w:rsid w:val="002D1CBF"/>
    <w:rsid w:val="00353889"/>
    <w:rsid w:val="003921A1"/>
    <w:rsid w:val="004B6AD9"/>
    <w:rsid w:val="005B45A2"/>
    <w:rsid w:val="00694FE4"/>
    <w:rsid w:val="0070239F"/>
    <w:rsid w:val="0078439B"/>
    <w:rsid w:val="007B221F"/>
    <w:rsid w:val="007D6014"/>
    <w:rsid w:val="00802560"/>
    <w:rsid w:val="008A419C"/>
    <w:rsid w:val="0092767F"/>
    <w:rsid w:val="00A163E5"/>
    <w:rsid w:val="00AA72C7"/>
    <w:rsid w:val="00AC2B36"/>
    <w:rsid w:val="00C653CD"/>
    <w:rsid w:val="00D22309"/>
    <w:rsid w:val="00D76BDC"/>
    <w:rsid w:val="00E62D83"/>
    <w:rsid w:val="00EA10EA"/>
    <w:rsid w:val="00EA1978"/>
    <w:rsid w:val="00F90207"/>
    <w:rsid w:val="0ED8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A75E"/>
  <w15:chartTrackingRefBased/>
  <w15:docId w15:val="{0D132278-559A-4DCC-A052-70AF815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8FB"/>
    <w:rPr>
      <w:b/>
      <w:bCs/>
    </w:rPr>
  </w:style>
  <w:style w:type="paragraph" w:styleId="NormalWeb">
    <w:name w:val="Normal (Web)"/>
    <w:basedOn w:val="Normal"/>
    <w:uiPriority w:val="99"/>
    <w:unhideWhenUsed/>
    <w:rsid w:val="001118FB"/>
    <w:pPr>
      <w:spacing w:after="240" w:line="360" w:lineRule="atLeas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D1CBF"/>
    <w:rPr>
      <w:i/>
      <w:iCs/>
    </w:rPr>
  </w:style>
  <w:style w:type="paragraph" w:styleId="Header">
    <w:name w:val="header"/>
    <w:basedOn w:val="Normal"/>
    <w:link w:val="HeaderChar"/>
    <w:uiPriority w:val="99"/>
    <w:unhideWhenUsed/>
    <w:rsid w:val="0035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89"/>
  </w:style>
  <w:style w:type="paragraph" w:styleId="Footer">
    <w:name w:val="footer"/>
    <w:basedOn w:val="Normal"/>
    <w:link w:val="FooterChar"/>
    <w:uiPriority w:val="99"/>
    <w:unhideWhenUsed/>
    <w:rsid w:val="0035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5386">
      <w:bodyDiv w:val="1"/>
      <w:marLeft w:val="0"/>
      <w:marRight w:val="0"/>
      <w:marTop w:val="0"/>
      <w:marBottom w:val="0"/>
      <w:divBdr>
        <w:top w:val="none" w:sz="0" w:space="0" w:color="auto"/>
        <w:left w:val="none" w:sz="0" w:space="0" w:color="auto"/>
        <w:bottom w:val="none" w:sz="0" w:space="0" w:color="auto"/>
        <w:right w:val="none" w:sz="0" w:space="0" w:color="auto"/>
      </w:divBdr>
      <w:divsChild>
        <w:div w:id="150567479">
          <w:marLeft w:val="0"/>
          <w:marRight w:val="0"/>
          <w:marTop w:val="0"/>
          <w:marBottom w:val="0"/>
          <w:divBdr>
            <w:top w:val="single" w:sz="36" w:space="0" w:color="FFD200"/>
            <w:left w:val="none" w:sz="0" w:space="0" w:color="auto"/>
            <w:bottom w:val="single" w:sz="48" w:space="0" w:color="FFD200"/>
            <w:right w:val="none" w:sz="0" w:space="0" w:color="auto"/>
          </w:divBdr>
          <w:divsChild>
            <w:div w:id="783185415">
              <w:marLeft w:val="0"/>
              <w:marRight w:val="0"/>
              <w:marTop w:val="0"/>
              <w:marBottom w:val="0"/>
              <w:divBdr>
                <w:top w:val="none" w:sz="0" w:space="0" w:color="auto"/>
                <w:left w:val="none" w:sz="0" w:space="0" w:color="auto"/>
                <w:bottom w:val="none" w:sz="0" w:space="0" w:color="auto"/>
                <w:right w:val="none" w:sz="0" w:space="0" w:color="auto"/>
              </w:divBdr>
              <w:divsChild>
                <w:div w:id="17319478">
                  <w:marLeft w:val="0"/>
                  <w:marRight w:val="0"/>
                  <w:marTop w:val="0"/>
                  <w:marBottom w:val="0"/>
                  <w:divBdr>
                    <w:top w:val="none" w:sz="0" w:space="0" w:color="auto"/>
                    <w:left w:val="none" w:sz="0" w:space="0" w:color="auto"/>
                    <w:bottom w:val="none" w:sz="0" w:space="0" w:color="auto"/>
                    <w:right w:val="none" w:sz="0" w:space="0" w:color="auto"/>
                  </w:divBdr>
                  <w:divsChild>
                    <w:div w:id="530264207">
                      <w:marLeft w:val="0"/>
                      <w:marRight w:val="0"/>
                      <w:marTop w:val="0"/>
                      <w:marBottom w:val="0"/>
                      <w:divBdr>
                        <w:top w:val="none" w:sz="0" w:space="0" w:color="auto"/>
                        <w:left w:val="none" w:sz="0" w:space="0" w:color="auto"/>
                        <w:bottom w:val="none" w:sz="0" w:space="0" w:color="auto"/>
                        <w:right w:val="none" w:sz="0" w:space="0" w:color="auto"/>
                      </w:divBdr>
                      <w:divsChild>
                        <w:div w:id="337080769">
                          <w:marLeft w:val="0"/>
                          <w:marRight w:val="0"/>
                          <w:marTop w:val="0"/>
                          <w:marBottom w:val="0"/>
                          <w:divBdr>
                            <w:top w:val="none" w:sz="0" w:space="0" w:color="auto"/>
                            <w:left w:val="none" w:sz="0" w:space="0" w:color="auto"/>
                            <w:bottom w:val="none" w:sz="0" w:space="0" w:color="auto"/>
                            <w:right w:val="none" w:sz="0" w:space="0" w:color="auto"/>
                          </w:divBdr>
                          <w:divsChild>
                            <w:div w:id="1291940893">
                              <w:marLeft w:val="60"/>
                              <w:marRight w:val="60"/>
                              <w:marTop w:val="0"/>
                              <w:marBottom w:val="0"/>
                              <w:divBdr>
                                <w:top w:val="none" w:sz="0" w:space="0" w:color="auto"/>
                                <w:left w:val="none" w:sz="0" w:space="0" w:color="auto"/>
                                <w:bottom w:val="none" w:sz="0" w:space="0" w:color="auto"/>
                                <w:right w:val="none" w:sz="0" w:space="0" w:color="auto"/>
                              </w:divBdr>
                              <w:divsChild>
                                <w:div w:id="78791440">
                                  <w:marLeft w:val="0"/>
                                  <w:marRight w:val="0"/>
                                  <w:marTop w:val="0"/>
                                  <w:marBottom w:val="0"/>
                                  <w:divBdr>
                                    <w:top w:val="none" w:sz="0" w:space="0" w:color="auto"/>
                                    <w:left w:val="none" w:sz="0" w:space="0" w:color="auto"/>
                                    <w:bottom w:val="none" w:sz="0" w:space="0" w:color="auto"/>
                                    <w:right w:val="none" w:sz="0" w:space="0" w:color="auto"/>
                                  </w:divBdr>
                                  <w:divsChild>
                                    <w:div w:id="1547791461">
                                      <w:marLeft w:val="75"/>
                                      <w:marRight w:val="75"/>
                                      <w:marTop w:val="0"/>
                                      <w:marBottom w:val="0"/>
                                      <w:divBdr>
                                        <w:top w:val="single" w:sz="6" w:space="4" w:color="A2A4A7"/>
                                        <w:left w:val="single" w:sz="6" w:space="8" w:color="A2A4A7"/>
                                        <w:bottom w:val="single" w:sz="6" w:space="4" w:color="A2A4A7"/>
                                        <w:right w:val="single" w:sz="6" w:space="8" w:color="A2A4A7"/>
                                      </w:divBdr>
                                      <w:divsChild>
                                        <w:div w:id="1849098409">
                                          <w:marLeft w:val="0"/>
                                          <w:marRight w:val="0"/>
                                          <w:marTop w:val="0"/>
                                          <w:marBottom w:val="0"/>
                                          <w:divBdr>
                                            <w:top w:val="none" w:sz="0" w:space="0" w:color="auto"/>
                                            <w:left w:val="none" w:sz="0" w:space="0" w:color="auto"/>
                                            <w:bottom w:val="none" w:sz="0" w:space="0" w:color="auto"/>
                                            <w:right w:val="none" w:sz="0" w:space="0" w:color="auto"/>
                                          </w:divBdr>
                                          <w:divsChild>
                                            <w:div w:id="60909501">
                                              <w:marLeft w:val="0"/>
                                              <w:marRight w:val="0"/>
                                              <w:marTop w:val="0"/>
                                              <w:marBottom w:val="0"/>
                                              <w:divBdr>
                                                <w:top w:val="none" w:sz="0" w:space="0" w:color="auto"/>
                                                <w:left w:val="none" w:sz="0" w:space="0" w:color="auto"/>
                                                <w:bottom w:val="none" w:sz="0" w:space="0" w:color="auto"/>
                                                <w:right w:val="none" w:sz="0" w:space="0" w:color="auto"/>
                                              </w:divBdr>
                                              <w:divsChild>
                                                <w:div w:id="11440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CDCDF-2052-4AFD-B67A-614E23755A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10A18-DB7A-4CF8-9368-8387E11072E6}">
  <ds:schemaRefs>
    <ds:schemaRef ds:uri="http://schemas.microsoft.com/sharepoint/v3/contenttype/forms"/>
  </ds:schemaRefs>
</ds:datastoreItem>
</file>

<file path=customXml/itemProps3.xml><?xml version="1.0" encoding="utf-8"?>
<ds:datastoreItem xmlns:ds="http://schemas.openxmlformats.org/officeDocument/2006/customXml" ds:itemID="{715EFF64-221B-4BDC-A69F-98AAF61F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dcterms:created xsi:type="dcterms:W3CDTF">2017-02-02T12:18:00Z</dcterms:created>
  <dcterms:modified xsi:type="dcterms:W3CDTF">2017-02-02T12:18:00Z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